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66545ECC" w:rsidR="00524449" w:rsidRDefault="00524449" w:rsidP="00524449">
      <w:pPr>
        <w:pStyle w:val="CH"/>
      </w:pPr>
      <w:r>
        <w:t xml:space="preserve">3GPP RAN WG4 Meeting </w:t>
      </w:r>
      <w:r w:rsidR="00651321" w:rsidRPr="009F0E8D">
        <w:t>#</w:t>
      </w:r>
      <w:r w:rsidR="006B4030">
        <w:t>10</w:t>
      </w:r>
      <w:r w:rsidR="003202DA">
        <w:t>2</w:t>
      </w:r>
      <w:r>
        <w:tab/>
      </w:r>
      <w:r>
        <w:tab/>
      </w:r>
      <w:r w:rsidR="00E30F10" w:rsidRPr="00E30F10">
        <w:t>R4-2203665</w:t>
      </w:r>
    </w:p>
    <w:p w14:paraId="50DC9730" w14:textId="75741E70" w:rsidR="00D309CC" w:rsidRPr="00FD166F" w:rsidRDefault="00651321" w:rsidP="00524449">
      <w:pPr>
        <w:pStyle w:val="CH"/>
        <w:tabs>
          <w:tab w:val="clear" w:pos="7920"/>
        </w:tabs>
        <w:rPr>
          <w:b w:val="0"/>
        </w:rPr>
      </w:pPr>
      <w:r w:rsidRPr="005B0B43">
        <w:t xml:space="preserve">Electronic meeting, </w:t>
      </w:r>
      <w:r w:rsidR="003202DA">
        <w:t>21st February</w:t>
      </w:r>
      <w:r w:rsidR="00EA5B41" w:rsidRPr="00D93B95">
        <w:t xml:space="preserve"> – </w:t>
      </w:r>
      <w:r w:rsidR="003202DA">
        <w:t>3rd March</w:t>
      </w:r>
      <w:r w:rsidR="00EA5B41" w:rsidRPr="00D93B95">
        <w:t xml:space="preserve"> 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1A316F40" w:rsidR="00D309CC" w:rsidRPr="006C351C" w:rsidRDefault="00D309CC" w:rsidP="00E27B54">
      <w:pPr>
        <w:pStyle w:val="CH"/>
        <w:rPr>
          <w:b w:val="0"/>
        </w:rPr>
      </w:pPr>
      <w:r w:rsidRPr="0008103A">
        <w:t>Agenda item:</w:t>
      </w:r>
      <w:r>
        <w:tab/>
      </w:r>
      <w:r w:rsidR="003202DA">
        <w:rPr>
          <w:lang w:val="en-US"/>
        </w:rPr>
        <w:t>9</w:t>
      </w:r>
      <w:r w:rsidR="00651321">
        <w:rPr>
          <w:lang w:val="en-US"/>
        </w:rPr>
        <w:t>.</w:t>
      </w:r>
      <w:r w:rsidR="005F3948">
        <w:rPr>
          <w:lang w:val="en-US"/>
        </w:rPr>
        <w:t>3</w:t>
      </w:r>
      <w:r w:rsidR="00651321">
        <w:rPr>
          <w:lang w:val="en-US"/>
        </w:rPr>
        <w:t>.</w:t>
      </w:r>
      <w:r w:rsidR="005D3EF2">
        <w:rPr>
          <w:lang w:val="en-US"/>
        </w:rPr>
        <w:t>1</w:t>
      </w:r>
    </w:p>
    <w:p w14:paraId="4DBE005A" w14:textId="480489C5" w:rsidR="00D309CC" w:rsidRPr="006C351C" w:rsidRDefault="00D309CC" w:rsidP="00E27B54">
      <w:pPr>
        <w:pStyle w:val="CH"/>
        <w:rPr>
          <w:b w:val="0"/>
        </w:rPr>
      </w:pPr>
      <w:r w:rsidRPr="006C351C">
        <w:t>Source:</w:t>
      </w:r>
      <w:r w:rsidRPr="006C351C">
        <w:tab/>
        <w:t>Apple</w:t>
      </w:r>
    </w:p>
    <w:p w14:paraId="0D2061A1" w14:textId="4FD96891" w:rsidR="00D309CC" w:rsidRPr="006C351C" w:rsidRDefault="00D309CC" w:rsidP="006B4030">
      <w:pPr>
        <w:pStyle w:val="CH"/>
        <w:ind w:left="2268" w:hanging="2268"/>
      </w:pPr>
      <w:r w:rsidRPr="006C351C">
        <w:t>Title:</w:t>
      </w:r>
      <w:r w:rsidRPr="006C351C">
        <w:tab/>
      </w:r>
      <w:r w:rsidR="005F3948" w:rsidRPr="005F3948">
        <w:t>Initial considerations on requirements for the licensed operation in the upper 6GHz frequency range</w:t>
      </w:r>
    </w:p>
    <w:p w14:paraId="052B1E0C" w14:textId="05FAEF0F" w:rsidR="00104BC6" w:rsidRPr="00754D1F" w:rsidRDefault="00104BC6" w:rsidP="00E27B54">
      <w:pPr>
        <w:pStyle w:val="CH"/>
        <w:rPr>
          <w:lang w:val="de-DE"/>
        </w:rPr>
      </w:pPr>
      <w:r w:rsidRPr="00754D1F">
        <w:rPr>
          <w:lang w:val="de-DE"/>
        </w:rPr>
        <w:t>WI/SI:</w:t>
      </w:r>
      <w:r w:rsidRPr="00754D1F">
        <w:rPr>
          <w:lang w:val="de-DE"/>
        </w:rPr>
        <w:tab/>
      </w:r>
      <w:r w:rsidR="00651321" w:rsidRPr="00754D1F">
        <w:rPr>
          <w:lang w:val="de-DE"/>
        </w:rPr>
        <w:t>NR_6GHz</w:t>
      </w:r>
    </w:p>
    <w:p w14:paraId="6C6D1281" w14:textId="7FD4F2CF" w:rsidR="00104BC6" w:rsidRPr="006C351C" w:rsidRDefault="00104BC6" w:rsidP="00E27B54">
      <w:pPr>
        <w:pStyle w:val="CH"/>
        <w:rPr>
          <w:b w:val="0"/>
        </w:rPr>
      </w:pPr>
      <w:r w:rsidRPr="006C351C">
        <w:t>Release:</w:t>
      </w:r>
      <w:r w:rsidRPr="006C351C">
        <w:tab/>
        <w:t>Rel-</w:t>
      </w:r>
      <w:r w:rsidR="002A79F8" w:rsidRPr="006C351C">
        <w:t>1</w:t>
      </w:r>
      <w:r w:rsidR="00236B75">
        <w:t>7</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0A52F066" w:rsidR="00651321" w:rsidRDefault="005F3948" w:rsidP="00651321">
      <w:r>
        <w:t xml:space="preserve">During the RAN#94 meeting, </w:t>
      </w:r>
      <w:r w:rsidR="00AE3E9E">
        <w:t xml:space="preserve">3GPP was informed by the </w:t>
      </w:r>
      <w:r w:rsidRPr="005F3948">
        <w:t>RCC Commission for the Regulation of the Usage of the Radio Frequency Spectrum and Satellite Orbits</w:t>
      </w:r>
      <w:r>
        <w:t xml:space="preserve"> about the agreed recommendation 1/21 on "</w:t>
      </w:r>
      <w:r w:rsidRPr="005F3948">
        <w:rPr>
          <w:i/>
          <w:iCs/>
        </w:rPr>
        <w:t>harmonization of the technical conditions for 5G-NR / IMT-2020 systems in the RCC countries in the frequency band 6 425-7 125 MHz or in its portions</w:t>
      </w:r>
      <w:r>
        <w:t xml:space="preserve">" </w:t>
      </w:r>
      <w:r>
        <w:fldChar w:fldCharType="begin"/>
      </w:r>
      <w:r>
        <w:instrText xml:space="preserve"> REF _Ref92471230 \r \h </w:instrText>
      </w:r>
      <w:r>
        <w:fldChar w:fldCharType="separate"/>
      </w:r>
      <w:r>
        <w:t>[1]</w:t>
      </w:r>
      <w:r>
        <w:fldChar w:fldCharType="end"/>
      </w:r>
      <w:r>
        <w:t xml:space="preserve">. In response to this document 3GPP RAN agreed to resume the corresponding WI </w:t>
      </w:r>
      <w:r>
        <w:fldChar w:fldCharType="begin"/>
      </w:r>
      <w:r>
        <w:instrText xml:space="preserve"> REF _Ref92471259 \r \h </w:instrText>
      </w:r>
      <w:r>
        <w:fldChar w:fldCharType="separate"/>
      </w:r>
      <w:r>
        <w:t>[2]</w:t>
      </w:r>
      <w:r>
        <w:fldChar w:fldCharType="end"/>
      </w:r>
      <w:r>
        <w:t xml:space="preserve"> aiming to introduce support for the licensed operation in that frequency range. </w:t>
      </w:r>
      <w:r w:rsidR="006B4030">
        <w:t xml:space="preserve"> </w:t>
      </w:r>
    </w:p>
    <w:p w14:paraId="33E772CC" w14:textId="5C81D961" w:rsidR="00453AE1" w:rsidRDefault="005F3948" w:rsidP="00E27B54">
      <w:r>
        <w:t>During the RAN#94 discussion several companies raised concerns on whether the RCC recommendation 1/21 provides sufficient technical information needed to specify a new licensed band accounting for the presence of incumbent services</w:t>
      </w:r>
      <w:r w:rsidR="00E32A96">
        <w:t>.</w:t>
      </w:r>
      <w:r>
        <w:t xml:space="preserve"> </w:t>
      </w:r>
      <w:r w:rsidR="00AE3E9E">
        <w:t>Thus, in</w:t>
      </w:r>
      <w:r>
        <w:t xml:space="preserve"> this discussion paper we present a list of potential open </w:t>
      </w:r>
      <w:r w:rsidR="000504E4">
        <w:t xml:space="preserve">technical </w:t>
      </w:r>
      <w:r>
        <w:t xml:space="preserve">issues that should be further clarified. </w:t>
      </w:r>
      <w:r w:rsidR="00E703E1">
        <w:t xml:space="preserve">  </w:t>
      </w:r>
    </w:p>
    <w:p w14:paraId="1CC6C29A" w14:textId="77777777" w:rsidR="000504E4" w:rsidRDefault="000504E4" w:rsidP="00E27B54"/>
    <w:p w14:paraId="3D8D13C3" w14:textId="77777777" w:rsidR="00710FF0" w:rsidRDefault="00710FF0" w:rsidP="00E27B54"/>
    <w:p w14:paraId="39718D8C" w14:textId="7CA9518B" w:rsidR="00FC371C" w:rsidRDefault="00FC371C" w:rsidP="00E27B54">
      <w:pPr>
        <w:pStyle w:val="Heading1"/>
        <w:keepNext w:val="0"/>
        <w:keepLines w:val="0"/>
      </w:pPr>
      <w:r>
        <w:t>2</w:t>
      </w:r>
      <w:r>
        <w:tab/>
      </w:r>
      <w:r w:rsidR="00EA1E00">
        <w:t xml:space="preserve">Further </w:t>
      </w:r>
      <w:r w:rsidR="00AE3E9E">
        <w:t>requirements for the upper licensed band</w:t>
      </w:r>
    </w:p>
    <w:p w14:paraId="30854C15" w14:textId="7BA5ABB2" w:rsidR="007F4E21" w:rsidRDefault="007F4E21" w:rsidP="007F4E21">
      <w:r>
        <w:t xml:space="preserve">In this section </w:t>
      </w:r>
      <w:r w:rsidR="005F3948">
        <w:t xml:space="preserve">we present high-level overview of potential open issues that 3GPP should ideally further clarify to </w:t>
      </w:r>
      <w:r w:rsidR="00AE3E9E">
        <w:t>decide</w:t>
      </w:r>
      <w:r w:rsidR="005F3948">
        <w:t xml:space="preserve"> how to proceed with introduction of a new licensed band</w:t>
      </w:r>
      <w:r>
        <w:t>:</w:t>
      </w:r>
    </w:p>
    <w:p w14:paraId="1F4DB994" w14:textId="34AFC207" w:rsidR="00596B5C" w:rsidRPr="005F3948" w:rsidRDefault="00596B5C" w:rsidP="00596B5C">
      <w:pPr>
        <w:pStyle w:val="B1"/>
      </w:pPr>
      <w:r>
        <w:t>-</w:t>
      </w:r>
      <w:r>
        <w:tab/>
      </w:r>
      <w:r w:rsidRPr="00596B5C">
        <w:rPr>
          <w:b/>
          <w:bCs/>
          <w:i/>
          <w:iCs/>
        </w:rPr>
        <w:t>Protection of passive services in 7075-7250MHz</w:t>
      </w:r>
      <w:r>
        <w:t xml:space="preserve">.  </w:t>
      </w:r>
      <w:r w:rsidR="000504E4">
        <w:t>T</w:t>
      </w:r>
      <w:r>
        <w:t xml:space="preserve">here are passive </w:t>
      </w:r>
      <w:r w:rsidR="000504E4">
        <w:t xml:space="preserve">microwave </w:t>
      </w:r>
      <w:r>
        <w:t>measurements performed in the 7075-7250MHz range</w:t>
      </w:r>
      <w:r w:rsidR="000504E4">
        <w:t xml:space="preserve">. In addition to it, </w:t>
      </w:r>
      <w:r w:rsidR="000504E4" w:rsidRPr="000504E4">
        <w:t>in the Russian Federation the frequency bands 7100-7155 MHz and 7190-7235 MHz are also allocated to the space operation service (Earth-to-space) on a primary basis</w:t>
      </w:r>
      <w:r w:rsidR="000504E4">
        <w:t>. Thus,</w:t>
      </w:r>
      <w:r>
        <w:t xml:space="preserve"> it is not clear which additional requirements should be ensured for the 5G/IMT deployments in the upper 6GHz band</w:t>
      </w:r>
      <w:r w:rsidR="000504E4">
        <w:t xml:space="preserve"> from the viewpoint of protection of the services mentioned above</w:t>
      </w:r>
      <w:r>
        <w:t xml:space="preserve">. </w:t>
      </w:r>
      <w:r w:rsidR="00AE3E9E">
        <w:t>In other words, more information on the emission levels is needed to conclude on the maximum allowable power, A-MPR values if any, and so on.</w:t>
      </w:r>
    </w:p>
    <w:p w14:paraId="5791479E" w14:textId="7C7D4B55" w:rsidR="005F3948" w:rsidRDefault="005F3948" w:rsidP="00AE3E9E">
      <w:pPr>
        <w:pStyle w:val="B1"/>
      </w:pPr>
      <w:r>
        <w:t>-</w:t>
      </w:r>
      <w:r>
        <w:tab/>
      </w:r>
      <w:r w:rsidRPr="005F3948">
        <w:rPr>
          <w:b/>
          <w:bCs/>
          <w:i/>
          <w:iCs/>
        </w:rPr>
        <w:t>Co-existence with other radio</w:t>
      </w:r>
      <w:r w:rsidR="000504E4">
        <w:rPr>
          <w:b/>
          <w:bCs/>
          <w:i/>
          <w:iCs/>
        </w:rPr>
        <w:t>communication</w:t>
      </w:r>
      <w:r w:rsidRPr="005F3948">
        <w:rPr>
          <w:b/>
          <w:bCs/>
          <w:i/>
          <w:iCs/>
        </w:rPr>
        <w:t xml:space="preserve"> </w:t>
      </w:r>
      <w:r w:rsidR="000504E4">
        <w:rPr>
          <w:b/>
          <w:bCs/>
          <w:i/>
          <w:iCs/>
        </w:rPr>
        <w:t>services</w:t>
      </w:r>
      <w:r w:rsidR="000504E4" w:rsidRPr="005F3948">
        <w:rPr>
          <w:b/>
          <w:bCs/>
          <w:i/>
          <w:iCs/>
        </w:rPr>
        <w:t xml:space="preserve"> </w:t>
      </w:r>
      <w:r w:rsidRPr="005F3948">
        <w:rPr>
          <w:b/>
          <w:bCs/>
          <w:i/>
          <w:iCs/>
        </w:rPr>
        <w:t>in the upper 6GHz band</w:t>
      </w:r>
      <w:r>
        <w:t xml:space="preserve">. The </w:t>
      </w:r>
      <w:r w:rsidR="00AE3E9E">
        <w:t xml:space="preserve">RCC </w:t>
      </w:r>
      <w:r>
        <w:t>recommendation mentions presence of other radio systems (</w:t>
      </w:r>
      <w:r w:rsidRPr="005F3948">
        <w:t xml:space="preserve">fixed service, the fixed-satellite </w:t>
      </w:r>
      <w:proofErr w:type="gramStart"/>
      <w:r w:rsidRPr="005F3948">
        <w:t>service</w:t>
      </w:r>
      <w:proofErr w:type="gramEnd"/>
      <w:r w:rsidRPr="005F3948">
        <w:t xml:space="preserve"> and the space operation service</w:t>
      </w:r>
      <w:r>
        <w:t xml:space="preserve">) on the primary basis, for which </w:t>
      </w:r>
      <w:r w:rsidRPr="00BF7627">
        <w:rPr>
          <w:i/>
          <w:iCs/>
        </w:rPr>
        <w:t>harmonised sharing condition</w:t>
      </w:r>
      <w:r>
        <w:t xml:space="preserve"> should exist. Nevertheless, the recommendation does not provide further information on the </w:t>
      </w:r>
      <w:r w:rsidR="000504E4">
        <w:t xml:space="preserve">exact </w:t>
      </w:r>
      <w:r>
        <w:t xml:space="preserve">sharing requirements and/or conditions that 3GPP should account for. </w:t>
      </w:r>
      <w:r w:rsidR="00AE3E9E">
        <w:t>Similarly for passive services, there should be more</w:t>
      </w:r>
      <w:r>
        <w:t xml:space="preserve"> </w:t>
      </w:r>
      <w:r w:rsidR="00AE3E9E">
        <w:t xml:space="preserve">information on the emission levels and requirements for co-existence with </w:t>
      </w:r>
      <w:r w:rsidR="000504E4">
        <w:t xml:space="preserve">these </w:t>
      </w:r>
      <w:r w:rsidR="00AE3E9E">
        <w:t>other radio systems.</w:t>
      </w:r>
    </w:p>
    <w:p w14:paraId="73149143" w14:textId="2C0A3B5C" w:rsidR="005D3EF2" w:rsidRPr="007F4E21" w:rsidRDefault="007F4E21" w:rsidP="005F3948">
      <w:pPr>
        <w:pStyle w:val="B1"/>
      </w:pPr>
      <w:r>
        <w:t>-</w:t>
      </w:r>
      <w:r>
        <w:tab/>
      </w:r>
      <w:r w:rsidR="005F3948" w:rsidRPr="005F3948">
        <w:rPr>
          <w:b/>
          <w:bCs/>
          <w:i/>
          <w:iCs/>
        </w:rPr>
        <w:t>Cross-border co-existence scenarios in the upper 6GHz band</w:t>
      </w:r>
      <w:r>
        <w:t>.</w:t>
      </w:r>
      <w:r w:rsidR="005F3948">
        <w:t xml:space="preserve"> Referring to the RCC recommendation, it </w:t>
      </w:r>
      <w:r w:rsidR="00596B5C">
        <w:t xml:space="preserve">is </w:t>
      </w:r>
      <w:r w:rsidR="005F3948">
        <w:t>mention</w:t>
      </w:r>
      <w:r w:rsidR="00596B5C">
        <w:t>ed</w:t>
      </w:r>
      <w:r w:rsidR="005F3948">
        <w:t xml:space="preserve"> that "</w:t>
      </w:r>
      <w:r w:rsidR="005F3948" w:rsidRPr="005F3948">
        <w:rPr>
          <w:i/>
          <w:iCs/>
        </w:rPr>
        <w:t>In addition, the harmonized technical conditions will facilitate the efficient use of spectrum by 5G-NR/IMT-2020 systems in border areas</w:t>
      </w:r>
      <w:r w:rsidR="005F3948">
        <w:t xml:space="preserve">". However, the recommendation does not provide further information how co-existence in the border areas with </w:t>
      </w:r>
      <w:proofErr w:type="gramStart"/>
      <w:r w:rsidR="000504E4">
        <w:t>e.g.</w:t>
      </w:r>
      <w:proofErr w:type="gramEnd"/>
      <w:r w:rsidR="000504E4">
        <w:t xml:space="preserve"> </w:t>
      </w:r>
      <w:r w:rsidR="005F3948">
        <w:t>EU/CEPT countries will be ensured</w:t>
      </w:r>
      <w:r w:rsidR="000504E4">
        <w:t xml:space="preserve">. Furthermore, </w:t>
      </w:r>
      <w:r w:rsidR="000504E4" w:rsidRPr="000504E4">
        <w:t xml:space="preserve">RCC also borders </w:t>
      </w:r>
      <w:r w:rsidR="000504E4">
        <w:t xml:space="preserve">with </w:t>
      </w:r>
      <w:proofErr w:type="gramStart"/>
      <w:r w:rsidR="000504E4" w:rsidRPr="000504E4">
        <w:t>R</w:t>
      </w:r>
      <w:r w:rsidR="000504E4">
        <w:t>egion</w:t>
      </w:r>
      <w:proofErr w:type="gramEnd"/>
      <w:r w:rsidR="000504E4">
        <w:t xml:space="preserve"> </w:t>
      </w:r>
      <w:r w:rsidR="000504E4" w:rsidRPr="000504E4">
        <w:t xml:space="preserve">3 countries that may or may not allow access to </w:t>
      </w:r>
      <w:r w:rsidR="000504E4">
        <w:t xml:space="preserve">all </w:t>
      </w:r>
      <w:r w:rsidR="000504E4" w:rsidRPr="000504E4">
        <w:t>of the upper 6 GHz band</w:t>
      </w:r>
      <w:r w:rsidR="005F3948">
        <w:t xml:space="preserve">, which at least as of now is heavily used by the incumbent services.  </w:t>
      </w:r>
    </w:p>
    <w:p w14:paraId="74BE6D7E" w14:textId="0A6E757A" w:rsidR="00F84B3D" w:rsidRPr="007F4E21" w:rsidRDefault="007F4E21" w:rsidP="007F4E21">
      <w:pPr>
        <w:pStyle w:val="B1"/>
      </w:pPr>
      <w:r>
        <w:lastRenderedPageBreak/>
        <w:t>-</w:t>
      </w:r>
      <w:r>
        <w:tab/>
      </w:r>
      <w:r w:rsidR="005F3948" w:rsidRPr="005F3948">
        <w:rPr>
          <w:b/>
          <w:bCs/>
          <w:i/>
          <w:iCs/>
        </w:rPr>
        <w:t>Co-existence with unlicensed services in the lower 6GHz band</w:t>
      </w:r>
      <w:r w:rsidR="00486244">
        <w:t xml:space="preserve">. </w:t>
      </w:r>
      <w:r w:rsidR="005F3948">
        <w:t xml:space="preserve">The lower 6GHz frequency range, 5925/5945-6452MHz is allocated for the license-exempt usage in most countries, and the EU/CEPT region already decided to </w:t>
      </w:r>
      <w:r w:rsidR="000504E4">
        <w:t>grant licence-exempt access to the</w:t>
      </w:r>
      <w:r w:rsidR="005F3948">
        <w:t xml:space="preserve"> 5945-6425MHz range. Furthermore, the EC Decision clearly states that "</w:t>
      </w:r>
      <w:r w:rsidR="005F3948" w:rsidRPr="0038008B">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5F3948">
        <w:t xml:space="preserve">". However, the RCC recommendation assumes that allocations may start right from </w:t>
      </w:r>
      <w:proofErr w:type="gramStart"/>
      <w:r w:rsidR="005F3948">
        <w:t>6425MHz</w:t>
      </w:r>
      <w:proofErr w:type="gramEnd"/>
      <w:r w:rsidR="005F3948">
        <w:t xml:space="preserve"> and no guard band is assumed.  Since the RCC countries are also CEPT members, it is not clear which impact licensed services deployed above 6425MHz will have on unlicensed services either within the RCC countries or in the cross-border scenarios.</w:t>
      </w:r>
    </w:p>
    <w:p w14:paraId="573DE051" w14:textId="045B21DB" w:rsidR="00F84B3D" w:rsidRDefault="00F84B3D" w:rsidP="00F84B3D">
      <w:r>
        <w:t xml:space="preserve">. </w:t>
      </w:r>
    </w:p>
    <w:p w14:paraId="621C98DA" w14:textId="5CAAAE4B" w:rsidR="00F84B3D" w:rsidRDefault="00F84B3D" w:rsidP="00F84B3D">
      <w:pPr>
        <w:pStyle w:val="Proposal"/>
      </w:pPr>
      <w:bookmarkStart w:id="1" w:name="_Toc92462122"/>
      <w:bookmarkStart w:id="2" w:name="_Toc92475292"/>
      <w:bookmarkStart w:id="3" w:name="_Toc92486685"/>
      <w:bookmarkStart w:id="4" w:name="_Toc92736888"/>
      <w:bookmarkStart w:id="5" w:name="_Toc92741319"/>
      <w:r w:rsidRPr="00AB2852">
        <w:rPr>
          <w:bCs/>
        </w:rPr>
        <w:t>Proposal:</w:t>
      </w:r>
      <w:r>
        <w:tab/>
      </w:r>
      <w:r w:rsidR="00496149">
        <w:t xml:space="preserve">We kindly request to </w:t>
      </w:r>
      <w:r w:rsidR="00053765">
        <w:t>discuss further</w:t>
      </w:r>
      <w:r w:rsidR="00496149">
        <w:t xml:space="preserve"> presented co-existence issues </w:t>
      </w:r>
      <w:r w:rsidR="00AE3E9E">
        <w:t>for</w:t>
      </w:r>
      <w:r w:rsidR="00496149">
        <w:t xml:space="preserve"> the upper 6GHz licensed band</w:t>
      </w:r>
      <w:r>
        <w:t>.</w:t>
      </w:r>
      <w:bookmarkEnd w:id="1"/>
      <w:bookmarkEnd w:id="2"/>
      <w:bookmarkEnd w:id="3"/>
      <w:bookmarkEnd w:id="4"/>
      <w:bookmarkEnd w:id="5"/>
    </w:p>
    <w:p w14:paraId="3B36D15A" w14:textId="77777777" w:rsidR="00CE423E" w:rsidRDefault="00CE423E" w:rsidP="000A6237"/>
    <w:p w14:paraId="38454171" w14:textId="77777777" w:rsidR="00F92298" w:rsidRDefault="00F92298" w:rsidP="00CE423E"/>
    <w:p w14:paraId="72EC36DD" w14:textId="77777777" w:rsidR="00CE423E" w:rsidRDefault="00CE423E" w:rsidP="000A6237">
      <w:pPr>
        <w:pStyle w:val="TH"/>
      </w:pPr>
    </w:p>
    <w:p w14:paraId="34C99636" w14:textId="7917B134" w:rsidR="008E7986" w:rsidRDefault="008E7986" w:rsidP="00E27B54">
      <w:pPr>
        <w:pStyle w:val="Heading1"/>
        <w:keepNext w:val="0"/>
        <w:keepLines w:val="0"/>
      </w:pPr>
      <w:r>
        <w:t>3</w:t>
      </w:r>
      <w:r>
        <w:tab/>
        <w:t>Conclusions</w:t>
      </w:r>
    </w:p>
    <w:p w14:paraId="6FF74A57" w14:textId="4EDDA96F" w:rsidR="00710FF0" w:rsidRDefault="00BA1A1F" w:rsidP="00710FF0">
      <w:r>
        <w:t xml:space="preserve">In this contribution we </w:t>
      </w:r>
      <w:r w:rsidR="00BF46E7">
        <w:t xml:space="preserve">have presented </w:t>
      </w:r>
      <w:r w:rsidR="00486244">
        <w:t xml:space="preserve">summary </w:t>
      </w:r>
      <w:r w:rsidR="000504E4">
        <w:t>our initial view on the several open technical issues for the upper 6GHz licensed band and potential co-existence scenarios, both with services running in the same frequency band in the RCC countries and cross-border areas, as well as with services in lower frequencies</w:t>
      </w:r>
      <w:r w:rsidR="002D5492">
        <w:t>.</w:t>
      </w:r>
      <w:r w:rsidR="000504E4">
        <w:t xml:space="preserve"> Based on that we </w:t>
      </w:r>
      <w:r w:rsidR="00053765">
        <w:t xml:space="preserve">suggest </w:t>
      </w:r>
      <w:r w:rsidR="00E30F10">
        <w:t xml:space="preserve">asking RCC to provide further technical feedback on co-existence issues </w:t>
      </w:r>
      <w:r w:rsidR="00E30F10">
        <w:fldChar w:fldCharType="begin"/>
      </w:r>
      <w:r w:rsidR="00E30F10">
        <w:instrText xml:space="preserve"> REF _Ref95762921 \r \h </w:instrText>
      </w:r>
      <w:r w:rsidR="00E30F10">
        <w:fldChar w:fldCharType="separate"/>
      </w:r>
      <w:r w:rsidR="00E30F10">
        <w:t>[3]</w:t>
      </w:r>
      <w:r w:rsidR="00E30F10">
        <w:fldChar w:fldCharType="end"/>
      </w:r>
      <w:r w:rsidR="000504E4">
        <w:t xml:space="preserve">.  </w:t>
      </w:r>
      <w:r w:rsidR="005D3EF2">
        <w:t xml:space="preserve"> </w:t>
      </w:r>
      <w:r w:rsidR="00BF46E7">
        <w:t xml:space="preserve">  </w:t>
      </w:r>
    </w:p>
    <w:p w14:paraId="7E0BC00F" w14:textId="77777777" w:rsidR="00053765"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053765" w:rsidRPr="004D0316">
        <w:rPr>
          <w:noProof/>
        </w:rPr>
        <w:t>Proposal:</w:t>
      </w:r>
      <w:r w:rsidR="00053765">
        <w:rPr>
          <w:rFonts w:asciiTheme="minorHAnsi" w:eastAsiaTheme="minorEastAsia" w:hAnsiTheme="minorHAnsi" w:cstheme="minorBidi"/>
          <w:b w:val="0"/>
          <w:bCs w:val="0"/>
          <w:noProof/>
          <w:sz w:val="24"/>
          <w:szCs w:val="24"/>
          <w:lang w:val="en-DE" w:eastAsia="ko-KR"/>
        </w:rPr>
        <w:tab/>
      </w:r>
      <w:r w:rsidR="00053765">
        <w:rPr>
          <w:noProof/>
        </w:rPr>
        <w:t>We kindly request to discuss further presented co-existence issues for the upper 6GHz licensed band.</w:t>
      </w:r>
    </w:p>
    <w:p w14:paraId="5D2DDC34" w14:textId="23D4007A" w:rsidR="005E69AE" w:rsidRDefault="00710FF0" w:rsidP="00F92298">
      <w:pPr>
        <w:pStyle w:val="Heading1"/>
        <w:keepNext w:val="0"/>
        <w:keepLines w:val="0"/>
        <w:ind w:left="0" w:firstLine="0"/>
      </w:pPr>
      <w:r>
        <w:rPr>
          <w:b/>
          <w:bCs/>
        </w:rPr>
        <w:fldChar w:fldCharType="end"/>
      </w:r>
      <w:r w:rsidR="005E69AE">
        <w:t>4</w:t>
      </w:r>
      <w:r w:rsidR="005E69AE">
        <w:tab/>
        <w:t>References</w:t>
      </w:r>
    </w:p>
    <w:p w14:paraId="67A03AF9" w14:textId="3B5156F5" w:rsidR="007F4E21" w:rsidRDefault="005F3948" w:rsidP="005F3948">
      <w:pPr>
        <w:widowControl w:val="0"/>
        <w:numPr>
          <w:ilvl w:val="0"/>
          <w:numId w:val="10"/>
        </w:numPr>
        <w:spacing w:before="120" w:after="120"/>
        <w:jc w:val="both"/>
      </w:pPr>
      <w:bookmarkStart w:id="6" w:name="_Ref92471230"/>
      <w:bookmarkEnd w:id="0"/>
      <w:r w:rsidRPr="005F3948">
        <w:t>RCC Recommendation 1/21</w:t>
      </w:r>
      <w:r w:rsidR="007F4E21" w:rsidRPr="007F4E21">
        <w:t>, "</w:t>
      </w:r>
      <w:r>
        <w:t>Harmonization of the technical conditions for 5G-NR / IMT-2020 systems in the RCC countries in the frequency band 6 425-7 125 MHz or in its portions</w:t>
      </w:r>
      <w:r w:rsidR="007F4E21" w:rsidRPr="007F4E21">
        <w:t xml:space="preserve">", </w:t>
      </w:r>
      <w:r>
        <w:t>Commission Decision 20/5 Annex 1, December 2021</w:t>
      </w:r>
      <w:bookmarkEnd w:id="6"/>
    </w:p>
    <w:p w14:paraId="1536CF88" w14:textId="4DC5ADC0" w:rsidR="005F3948" w:rsidRDefault="005F3948" w:rsidP="00481DDF">
      <w:pPr>
        <w:widowControl w:val="0"/>
        <w:numPr>
          <w:ilvl w:val="0"/>
          <w:numId w:val="10"/>
        </w:numPr>
        <w:spacing w:before="120" w:after="0"/>
        <w:jc w:val="both"/>
      </w:pPr>
      <w:bookmarkStart w:id="7" w:name="_Ref92471259"/>
      <w:r w:rsidRPr="005F3948">
        <w:t>RP-213696</w:t>
      </w:r>
      <w:r>
        <w:t>, "</w:t>
      </w:r>
      <w:r w:rsidRPr="005F3948">
        <w:t>Revised WID: Introduction of 6GHz NR licensed bands</w:t>
      </w:r>
      <w:r>
        <w:t xml:space="preserve">", Huawei, </w:t>
      </w:r>
      <w:proofErr w:type="spellStart"/>
      <w:r>
        <w:t>HiSilicon</w:t>
      </w:r>
      <w:bookmarkEnd w:id="7"/>
      <w:proofErr w:type="spellEnd"/>
    </w:p>
    <w:p w14:paraId="33A76FF9" w14:textId="32A6FF26" w:rsidR="00E30F10" w:rsidRDefault="00E30F10" w:rsidP="00481DDF">
      <w:pPr>
        <w:widowControl w:val="0"/>
        <w:numPr>
          <w:ilvl w:val="0"/>
          <w:numId w:val="10"/>
        </w:numPr>
        <w:spacing w:before="120" w:after="0"/>
        <w:jc w:val="both"/>
      </w:pPr>
      <w:bookmarkStart w:id="8" w:name="_Ref95762921"/>
      <w:r w:rsidRPr="00E30F10">
        <w:t>R4-2203666</w:t>
      </w:r>
      <w:r>
        <w:t>, "</w:t>
      </w:r>
      <w:r w:rsidRPr="00E30F10">
        <w:t>[Draft] Further Reply LS on inclusion of the 6425-7125 MHz frequency band in the 3GPP specification for 5G-NR/IMT-2000 systems</w:t>
      </w:r>
      <w:r>
        <w:t>"</w:t>
      </w:r>
      <w:bookmarkEnd w:id="8"/>
    </w:p>
    <w:sectPr w:rsidR="00E30F10"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4A268" w14:textId="77777777" w:rsidR="00343F8D" w:rsidRDefault="00343F8D">
      <w:r>
        <w:separator/>
      </w:r>
    </w:p>
  </w:endnote>
  <w:endnote w:type="continuationSeparator" w:id="0">
    <w:p w14:paraId="4834943F" w14:textId="77777777" w:rsidR="00343F8D" w:rsidRDefault="0034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D346D" w14:textId="77777777" w:rsidR="00343F8D" w:rsidRDefault="00343F8D">
      <w:r>
        <w:separator/>
      </w:r>
    </w:p>
  </w:footnote>
  <w:footnote w:type="continuationSeparator" w:id="0">
    <w:p w14:paraId="33EABC64" w14:textId="77777777" w:rsidR="00343F8D" w:rsidRDefault="00343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8"/>
  </w:num>
  <w:num w:numId="8">
    <w:abstractNumId w:val="4"/>
  </w:num>
  <w:num w:numId="9">
    <w:abstractNumId w:val="3"/>
  </w:num>
  <w:num w:numId="10">
    <w:abstractNumId w:val="6"/>
  </w:num>
  <w:num w:numId="11">
    <w:abstractNumId w:val="11"/>
  </w:num>
  <w:num w:numId="12">
    <w:abstractNumId w:val="9"/>
  </w:num>
  <w:num w:numId="13">
    <w:abstractNumId w:val="12"/>
  </w:num>
  <w:num w:numId="14">
    <w:abstractNumId w:val="10"/>
  </w:num>
  <w:num w:numId="15">
    <w:abstractNumId w:val="1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5132"/>
    <w:rsid w:val="00031385"/>
    <w:rsid w:val="0003171C"/>
    <w:rsid w:val="00033397"/>
    <w:rsid w:val="00040095"/>
    <w:rsid w:val="000504E4"/>
    <w:rsid w:val="00050D5E"/>
    <w:rsid w:val="00051834"/>
    <w:rsid w:val="000518D2"/>
    <w:rsid w:val="00052D38"/>
    <w:rsid w:val="00053765"/>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F5F19"/>
    <w:rsid w:val="001032BC"/>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61A9C"/>
    <w:rsid w:val="00162B64"/>
    <w:rsid w:val="00164651"/>
    <w:rsid w:val="00171755"/>
    <w:rsid w:val="00176C55"/>
    <w:rsid w:val="00177BF7"/>
    <w:rsid w:val="0018138C"/>
    <w:rsid w:val="00187472"/>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5CC0"/>
    <w:rsid w:val="001C61FB"/>
    <w:rsid w:val="001D02C2"/>
    <w:rsid w:val="001D03D7"/>
    <w:rsid w:val="001D3AF9"/>
    <w:rsid w:val="001D6FE0"/>
    <w:rsid w:val="001E4F2C"/>
    <w:rsid w:val="001F0C1D"/>
    <w:rsid w:val="001F1132"/>
    <w:rsid w:val="001F168B"/>
    <w:rsid w:val="001F5781"/>
    <w:rsid w:val="001F7D60"/>
    <w:rsid w:val="001F7F82"/>
    <w:rsid w:val="00200328"/>
    <w:rsid w:val="00203852"/>
    <w:rsid w:val="00203F71"/>
    <w:rsid w:val="00205BC2"/>
    <w:rsid w:val="002126D4"/>
    <w:rsid w:val="00215DAD"/>
    <w:rsid w:val="0021693C"/>
    <w:rsid w:val="002347A2"/>
    <w:rsid w:val="00234E81"/>
    <w:rsid w:val="002361C7"/>
    <w:rsid w:val="00236B75"/>
    <w:rsid w:val="002430C5"/>
    <w:rsid w:val="002448D4"/>
    <w:rsid w:val="00247926"/>
    <w:rsid w:val="00250D2B"/>
    <w:rsid w:val="00252476"/>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5671"/>
    <w:rsid w:val="00305920"/>
    <w:rsid w:val="00305BA6"/>
    <w:rsid w:val="003131E0"/>
    <w:rsid w:val="0031353C"/>
    <w:rsid w:val="003136A6"/>
    <w:rsid w:val="00316AE1"/>
    <w:rsid w:val="003172DC"/>
    <w:rsid w:val="003202DA"/>
    <w:rsid w:val="003224F0"/>
    <w:rsid w:val="00322C0B"/>
    <w:rsid w:val="00323B17"/>
    <w:rsid w:val="00334135"/>
    <w:rsid w:val="00334617"/>
    <w:rsid w:val="00335709"/>
    <w:rsid w:val="003378AE"/>
    <w:rsid w:val="00340356"/>
    <w:rsid w:val="0034052F"/>
    <w:rsid w:val="00342BE4"/>
    <w:rsid w:val="00343F8D"/>
    <w:rsid w:val="00344627"/>
    <w:rsid w:val="00344A6C"/>
    <w:rsid w:val="00345757"/>
    <w:rsid w:val="00351143"/>
    <w:rsid w:val="0035462D"/>
    <w:rsid w:val="003601DF"/>
    <w:rsid w:val="00362028"/>
    <w:rsid w:val="0036230A"/>
    <w:rsid w:val="00362D35"/>
    <w:rsid w:val="00364C39"/>
    <w:rsid w:val="00364DB5"/>
    <w:rsid w:val="00365F18"/>
    <w:rsid w:val="00370606"/>
    <w:rsid w:val="003709D1"/>
    <w:rsid w:val="003727D1"/>
    <w:rsid w:val="0037554F"/>
    <w:rsid w:val="003765B8"/>
    <w:rsid w:val="00376964"/>
    <w:rsid w:val="00376ADC"/>
    <w:rsid w:val="00383354"/>
    <w:rsid w:val="0039394E"/>
    <w:rsid w:val="00395441"/>
    <w:rsid w:val="00396119"/>
    <w:rsid w:val="003A02EE"/>
    <w:rsid w:val="003A0483"/>
    <w:rsid w:val="003A5C0D"/>
    <w:rsid w:val="003A6046"/>
    <w:rsid w:val="003B5ABB"/>
    <w:rsid w:val="003B6864"/>
    <w:rsid w:val="003C3971"/>
    <w:rsid w:val="003C65F9"/>
    <w:rsid w:val="003D17F9"/>
    <w:rsid w:val="003D71CA"/>
    <w:rsid w:val="003E249B"/>
    <w:rsid w:val="003E390C"/>
    <w:rsid w:val="003E7753"/>
    <w:rsid w:val="003F0BEA"/>
    <w:rsid w:val="003F72AE"/>
    <w:rsid w:val="00400A77"/>
    <w:rsid w:val="004012FF"/>
    <w:rsid w:val="004039D1"/>
    <w:rsid w:val="00410303"/>
    <w:rsid w:val="004154B2"/>
    <w:rsid w:val="004161BB"/>
    <w:rsid w:val="00417590"/>
    <w:rsid w:val="0042139E"/>
    <w:rsid w:val="00421933"/>
    <w:rsid w:val="00423334"/>
    <w:rsid w:val="00425453"/>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6149"/>
    <w:rsid w:val="00497654"/>
    <w:rsid w:val="004A20F8"/>
    <w:rsid w:val="004A37DE"/>
    <w:rsid w:val="004A409A"/>
    <w:rsid w:val="004A75A2"/>
    <w:rsid w:val="004B09FC"/>
    <w:rsid w:val="004B3E42"/>
    <w:rsid w:val="004B502F"/>
    <w:rsid w:val="004B6798"/>
    <w:rsid w:val="004C0A2E"/>
    <w:rsid w:val="004C1601"/>
    <w:rsid w:val="004C3099"/>
    <w:rsid w:val="004C7B37"/>
    <w:rsid w:val="004D3578"/>
    <w:rsid w:val="004D643A"/>
    <w:rsid w:val="004E213A"/>
    <w:rsid w:val="004E2D77"/>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6B5C"/>
    <w:rsid w:val="005973BE"/>
    <w:rsid w:val="005A49AA"/>
    <w:rsid w:val="005A5986"/>
    <w:rsid w:val="005B1383"/>
    <w:rsid w:val="005B2B6A"/>
    <w:rsid w:val="005B35AC"/>
    <w:rsid w:val="005C13CE"/>
    <w:rsid w:val="005C5712"/>
    <w:rsid w:val="005D0294"/>
    <w:rsid w:val="005D27B5"/>
    <w:rsid w:val="005D2E01"/>
    <w:rsid w:val="005D3EF2"/>
    <w:rsid w:val="005D4624"/>
    <w:rsid w:val="005D52B4"/>
    <w:rsid w:val="005D5BCA"/>
    <w:rsid w:val="005D7526"/>
    <w:rsid w:val="005E0910"/>
    <w:rsid w:val="005E1597"/>
    <w:rsid w:val="005E1B49"/>
    <w:rsid w:val="005E5E5E"/>
    <w:rsid w:val="005E69AE"/>
    <w:rsid w:val="005F3948"/>
    <w:rsid w:val="005F3E4E"/>
    <w:rsid w:val="005F5463"/>
    <w:rsid w:val="005F6F36"/>
    <w:rsid w:val="005F7035"/>
    <w:rsid w:val="00602AEA"/>
    <w:rsid w:val="00602B89"/>
    <w:rsid w:val="006045A9"/>
    <w:rsid w:val="00607E3C"/>
    <w:rsid w:val="00614E37"/>
    <w:rsid w:val="00614FDF"/>
    <w:rsid w:val="00621074"/>
    <w:rsid w:val="006212AD"/>
    <w:rsid w:val="006246A7"/>
    <w:rsid w:val="0062559E"/>
    <w:rsid w:val="0062595A"/>
    <w:rsid w:val="0063543D"/>
    <w:rsid w:val="0063688C"/>
    <w:rsid w:val="006369F5"/>
    <w:rsid w:val="00645891"/>
    <w:rsid w:val="00645B80"/>
    <w:rsid w:val="00647114"/>
    <w:rsid w:val="00651321"/>
    <w:rsid w:val="00652E54"/>
    <w:rsid w:val="006633B2"/>
    <w:rsid w:val="0066728F"/>
    <w:rsid w:val="0067193B"/>
    <w:rsid w:val="00673EF2"/>
    <w:rsid w:val="00677B76"/>
    <w:rsid w:val="006800C1"/>
    <w:rsid w:val="006908FD"/>
    <w:rsid w:val="00691014"/>
    <w:rsid w:val="00695ACB"/>
    <w:rsid w:val="006974B3"/>
    <w:rsid w:val="006A323F"/>
    <w:rsid w:val="006A4C43"/>
    <w:rsid w:val="006B30D0"/>
    <w:rsid w:val="006B4030"/>
    <w:rsid w:val="006C351C"/>
    <w:rsid w:val="006C3B46"/>
    <w:rsid w:val="006C3D95"/>
    <w:rsid w:val="006C5CE0"/>
    <w:rsid w:val="006D012B"/>
    <w:rsid w:val="006D21E5"/>
    <w:rsid w:val="006D7439"/>
    <w:rsid w:val="006E0326"/>
    <w:rsid w:val="006E2D06"/>
    <w:rsid w:val="006E58C5"/>
    <w:rsid w:val="006E5C86"/>
    <w:rsid w:val="006F0D19"/>
    <w:rsid w:val="006F32C4"/>
    <w:rsid w:val="006F4483"/>
    <w:rsid w:val="006F7A0B"/>
    <w:rsid w:val="00700CF5"/>
    <w:rsid w:val="00701BF6"/>
    <w:rsid w:val="00702CCB"/>
    <w:rsid w:val="00703061"/>
    <w:rsid w:val="0070448F"/>
    <w:rsid w:val="00710FF0"/>
    <w:rsid w:val="00713C44"/>
    <w:rsid w:val="0071576F"/>
    <w:rsid w:val="00723101"/>
    <w:rsid w:val="00724089"/>
    <w:rsid w:val="00724176"/>
    <w:rsid w:val="007275C9"/>
    <w:rsid w:val="00730928"/>
    <w:rsid w:val="00730ED4"/>
    <w:rsid w:val="00734A5B"/>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4E21"/>
    <w:rsid w:val="007F56FF"/>
    <w:rsid w:val="0080113F"/>
    <w:rsid w:val="008028A4"/>
    <w:rsid w:val="0080340B"/>
    <w:rsid w:val="0080746B"/>
    <w:rsid w:val="00812B52"/>
    <w:rsid w:val="00820B25"/>
    <w:rsid w:val="00823B74"/>
    <w:rsid w:val="00824904"/>
    <w:rsid w:val="008272CE"/>
    <w:rsid w:val="00830747"/>
    <w:rsid w:val="008321F9"/>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2332"/>
    <w:rsid w:val="009C067E"/>
    <w:rsid w:val="009C2464"/>
    <w:rsid w:val="009C2C1B"/>
    <w:rsid w:val="009D2CB7"/>
    <w:rsid w:val="009D3B48"/>
    <w:rsid w:val="009D3F00"/>
    <w:rsid w:val="009D69FC"/>
    <w:rsid w:val="009E08B6"/>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751A"/>
    <w:rsid w:val="00A200FA"/>
    <w:rsid w:val="00A20B73"/>
    <w:rsid w:val="00A23E4F"/>
    <w:rsid w:val="00A26956"/>
    <w:rsid w:val="00A26B8E"/>
    <w:rsid w:val="00A309A6"/>
    <w:rsid w:val="00A32451"/>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2852"/>
    <w:rsid w:val="00AC176F"/>
    <w:rsid w:val="00AC30FF"/>
    <w:rsid w:val="00AC4677"/>
    <w:rsid w:val="00AC6BC6"/>
    <w:rsid w:val="00AD30A9"/>
    <w:rsid w:val="00AD7733"/>
    <w:rsid w:val="00AE24D1"/>
    <w:rsid w:val="00AE3797"/>
    <w:rsid w:val="00AE3E9E"/>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797D"/>
    <w:rsid w:val="00B9159B"/>
    <w:rsid w:val="00B918A8"/>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3990"/>
    <w:rsid w:val="00BD10BC"/>
    <w:rsid w:val="00BD4B06"/>
    <w:rsid w:val="00BD56A7"/>
    <w:rsid w:val="00BD6C61"/>
    <w:rsid w:val="00BD7355"/>
    <w:rsid w:val="00BE0421"/>
    <w:rsid w:val="00BE3255"/>
    <w:rsid w:val="00BF128E"/>
    <w:rsid w:val="00BF46E7"/>
    <w:rsid w:val="00BF6B94"/>
    <w:rsid w:val="00BF7627"/>
    <w:rsid w:val="00BF7F3B"/>
    <w:rsid w:val="00C010CD"/>
    <w:rsid w:val="00C03F8A"/>
    <w:rsid w:val="00C04C47"/>
    <w:rsid w:val="00C1496A"/>
    <w:rsid w:val="00C15897"/>
    <w:rsid w:val="00C246BA"/>
    <w:rsid w:val="00C260C6"/>
    <w:rsid w:val="00C27F76"/>
    <w:rsid w:val="00C33079"/>
    <w:rsid w:val="00C34314"/>
    <w:rsid w:val="00C379D8"/>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F40"/>
    <w:rsid w:val="00CA1C65"/>
    <w:rsid w:val="00CA3D0C"/>
    <w:rsid w:val="00CA3F1F"/>
    <w:rsid w:val="00CA4BE4"/>
    <w:rsid w:val="00CB2052"/>
    <w:rsid w:val="00CB45AB"/>
    <w:rsid w:val="00CB4DC4"/>
    <w:rsid w:val="00CB66BA"/>
    <w:rsid w:val="00CB7613"/>
    <w:rsid w:val="00CC3BA1"/>
    <w:rsid w:val="00CC42C6"/>
    <w:rsid w:val="00CC5A27"/>
    <w:rsid w:val="00CD1191"/>
    <w:rsid w:val="00CD14E9"/>
    <w:rsid w:val="00CD1693"/>
    <w:rsid w:val="00CD4B25"/>
    <w:rsid w:val="00CD6FF5"/>
    <w:rsid w:val="00CD7B5B"/>
    <w:rsid w:val="00CE035B"/>
    <w:rsid w:val="00CE423E"/>
    <w:rsid w:val="00CE7369"/>
    <w:rsid w:val="00CF20E3"/>
    <w:rsid w:val="00D002B6"/>
    <w:rsid w:val="00D10B5C"/>
    <w:rsid w:val="00D14D21"/>
    <w:rsid w:val="00D15BBA"/>
    <w:rsid w:val="00D20553"/>
    <w:rsid w:val="00D22D88"/>
    <w:rsid w:val="00D30349"/>
    <w:rsid w:val="00D30464"/>
    <w:rsid w:val="00D309CC"/>
    <w:rsid w:val="00D3351F"/>
    <w:rsid w:val="00D34E1E"/>
    <w:rsid w:val="00D35B3F"/>
    <w:rsid w:val="00D414E1"/>
    <w:rsid w:val="00D431B7"/>
    <w:rsid w:val="00D46431"/>
    <w:rsid w:val="00D468B9"/>
    <w:rsid w:val="00D52A2A"/>
    <w:rsid w:val="00D553ED"/>
    <w:rsid w:val="00D56A52"/>
    <w:rsid w:val="00D57972"/>
    <w:rsid w:val="00D6107D"/>
    <w:rsid w:val="00D645AF"/>
    <w:rsid w:val="00D65F45"/>
    <w:rsid w:val="00D675A9"/>
    <w:rsid w:val="00D6769F"/>
    <w:rsid w:val="00D738D6"/>
    <w:rsid w:val="00D755EB"/>
    <w:rsid w:val="00D7564D"/>
    <w:rsid w:val="00D77E92"/>
    <w:rsid w:val="00D821E5"/>
    <w:rsid w:val="00D8624B"/>
    <w:rsid w:val="00D87812"/>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C309B"/>
    <w:rsid w:val="00DC47A6"/>
    <w:rsid w:val="00DC4DA2"/>
    <w:rsid w:val="00DD089D"/>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7A5E"/>
    <w:rsid w:val="00E27B54"/>
    <w:rsid w:val="00E30F10"/>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50135"/>
    <w:rsid w:val="00E507ED"/>
    <w:rsid w:val="00E52814"/>
    <w:rsid w:val="00E52D2E"/>
    <w:rsid w:val="00E53B5D"/>
    <w:rsid w:val="00E55B2C"/>
    <w:rsid w:val="00E56C84"/>
    <w:rsid w:val="00E603C1"/>
    <w:rsid w:val="00E65AAE"/>
    <w:rsid w:val="00E70295"/>
    <w:rsid w:val="00E703E1"/>
    <w:rsid w:val="00E71D42"/>
    <w:rsid w:val="00E72324"/>
    <w:rsid w:val="00E72904"/>
    <w:rsid w:val="00E72ABE"/>
    <w:rsid w:val="00E75C1B"/>
    <w:rsid w:val="00E76BD1"/>
    <w:rsid w:val="00E77364"/>
    <w:rsid w:val="00E77645"/>
    <w:rsid w:val="00E80DE4"/>
    <w:rsid w:val="00E82623"/>
    <w:rsid w:val="00E8309B"/>
    <w:rsid w:val="00E879EE"/>
    <w:rsid w:val="00E92F48"/>
    <w:rsid w:val="00EA1E00"/>
    <w:rsid w:val="00EA5B41"/>
    <w:rsid w:val="00EA6749"/>
    <w:rsid w:val="00EB22F4"/>
    <w:rsid w:val="00EB47FE"/>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25C8"/>
    <w:rsid w:val="00F32778"/>
    <w:rsid w:val="00F33CB2"/>
    <w:rsid w:val="00F35446"/>
    <w:rsid w:val="00F35758"/>
    <w:rsid w:val="00F37627"/>
    <w:rsid w:val="00F37628"/>
    <w:rsid w:val="00F40958"/>
    <w:rsid w:val="00F465DF"/>
    <w:rsid w:val="00F4799F"/>
    <w:rsid w:val="00F56D57"/>
    <w:rsid w:val="00F61B4D"/>
    <w:rsid w:val="00F62AEB"/>
    <w:rsid w:val="00F653B8"/>
    <w:rsid w:val="00F70647"/>
    <w:rsid w:val="00F73852"/>
    <w:rsid w:val="00F7420E"/>
    <w:rsid w:val="00F77382"/>
    <w:rsid w:val="00F84B3D"/>
    <w:rsid w:val="00F851B0"/>
    <w:rsid w:val="00F86361"/>
    <w:rsid w:val="00F8688A"/>
    <w:rsid w:val="00F92298"/>
    <w:rsid w:val="00F9377C"/>
    <w:rsid w:val="00F95EDB"/>
    <w:rsid w:val="00F96804"/>
    <w:rsid w:val="00FA0D1A"/>
    <w:rsid w:val="00FA0DFF"/>
    <w:rsid w:val="00FA1266"/>
    <w:rsid w:val="00FA7625"/>
    <w:rsid w:val="00FA7D14"/>
    <w:rsid w:val="00FB0219"/>
    <w:rsid w:val="00FB2C76"/>
    <w:rsid w:val="00FB68AC"/>
    <w:rsid w:val="00FB7689"/>
    <w:rsid w:val="00FC1192"/>
    <w:rsid w:val="00FC371C"/>
    <w:rsid w:val="00FC4835"/>
    <w:rsid w:val="00FC59FD"/>
    <w:rsid w:val="00FD12FB"/>
    <w:rsid w:val="00FD324E"/>
    <w:rsid w:val="00FE0EF3"/>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cp:revision>
  <cp:lastPrinted>2019-02-25T14:05:00Z</cp:lastPrinted>
  <dcterms:created xsi:type="dcterms:W3CDTF">2022-02-08T14:23:00Z</dcterms:created>
  <dcterms:modified xsi:type="dcterms:W3CDTF">2022-02-14T19:28:00Z</dcterms:modified>
  <cp:category/>
</cp:coreProperties>
</file>